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CEBED" w14:textId="77777777" w:rsidR="00CF10D7" w:rsidRDefault="00CF10D7" w:rsidP="00CF10D7">
      <w:pPr>
        <w:pStyle w:val="Default"/>
        <w:jc w:val="center"/>
      </w:pPr>
    </w:p>
    <w:p w14:paraId="4063E480" w14:textId="77777777" w:rsidR="00CF10D7" w:rsidRPr="00476889" w:rsidRDefault="00CF10D7" w:rsidP="00CF10D7">
      <w:pPr>
        <w:pStyle w:val="Default"/>
        <w:jc w:val="center"/>
        <w:rPr>
          <w:rFonts w:ascii="Arial" w:hAnsi="Arial" w:cs="Arial"/>
          <w:sz w:val="20"/>
          <w:szCs w:val="20"/>
        </w:rPr>
      </w:pPr>
      <w:r w:rsidRPr="00476889">
        <w:rPr>
          <w:rFonts w:ascii="Arial" w:hAnsi="Arial" w:cs="Arial"/>
          <w:b/>
          <w:bCs/>
          <w:sz w:val="20"/>
          <w:szCs w:val="20"/>
        </w:rPr>
        <w:t>Early Years Pupil Premium Summary</w:t>
      </w:r>
    </w:p>
    <w:p w14:paraId="5341D0A6" w14:textId="77777777" w:rsidR="00CF10D7" w:rsidRPr="00476889" w:rsidRDefault="00CF10D7" w:rsidP="00CF10D7">
      <w:pPr>
        <w:pStyle w:val="Default"/>
        <w:jc w:val="center"/>
        <w:rPr>
          <w:rFonts w:ascii="Arial" w:hAnsi="Arial" w:cs="Arial"/>
          <w:b/>
          <w:bCs/>
          <w:sz w:val="20"/>
          <w:szCs w:val="20"/>
        </w:rPr>
      </w:pPr>
      <w:r w:rsidRPr="00476889">
        <w:rPr>
          <w:rFonts w:ascii="Arial" w:hAnsi="Arial" w:cs="Arial"/>
          <w:b/>
          <w:bCs/>
          <w:sz w:val="20"/>
          <w:szCs w:val="20"/>
        </w:rPr>
        <w:t>Strategy, Expenditure and Impact Report</w:t>
      </w:r>
    </w:p>
    <w:p w14:paraId="1EEE5B74" w14:textId="77777777" w:rsidR="00CF10D7" w:rsidRPr="00476889" w:rsidRDefault="00CF10D7" w:rsidP="00CF10D7">
      <w:pPr>
        <w:pStyle w:val="Default"/>
        <w:jc w:val="center"/>
        <w:rPr>
          <w:rFonts w:ascii="Arial" w:hAnsi="Arial" w:cs="Arial"/>
          <w:sz w:val="20"/>
          <w:szCs w:val="20"/>
        </w:rPr>
      </w:pPr>
    </w:p>
    <w:p w14:paraId="3937413D" w14:textId="4B0CC32D" w:rsidR="00CF10D7" w:rsidRPr="00476889" w:rsidRDefault="00256923" w:rsidP="00CF10D7">
      <w:pPr>
        <w:pStyle w:val="Default"/>
        <w:jc w:val="center"/>
        <w:rPr>
          <w:rFonts w:ascii="Arial" w:hAnsi="Arial" w:cs="Arial"/>
          <w:b/>
          <w:bCs/>
          <w:sz w:val="20"/>
          <w:szCs w:val="20"/>
        </w:rPr>
      </w:pPr>
      <w:r w:rsidRPr="00476889">
        <w:rPr>
          <w:rFonts w:ascii="Arial" w:hAnsi="Arial" w:cs="Arial"/>
          <w:b/>
          <w:bCs/>
          <w:sz w:val="20"/>
          <w:szCs w:val="20"/>
        </w:rPr>
        <w:t>Autumn 202</w:t>
      </w:r>
      <w:r w:rsidR="00476889" w:rsidRPr="00476889">
        <w:rPr>
          <w:rFonts w:ascii="Arial" w:hAnsi="Arial" w:cs="Arial"/>
          <w:b/>
          <w:bCs/>
          <w:sz w:val="20"/>
          <w:szCs w:val="20"/>
        </w:rPr>
        <w:t>4-2025</w:t>
      </w:r>
    </w:p>
    <w:p w14:paraId="17CEA1AC" w14:textId="77777777" w:rsidR="00CF10D7" w:rsidRPr="00476889" w:rsidRDefault="00CF10D7" w:rsidP="00CF10D7">
      <w:pPr>
        <w:pStyle w:val="Default"/>
        <w:jc w:val="center"/>
        <w:rPr>
          <w:rFonts w:ascii="Arial" w:hAnsi="Arial" w:cs="Arial"/>
          <w:sz w:val="20"/>
          <w:szCs w:val="20"/>
        </w:rPr>
      </w:pPr>
    </w:p>
    <w:p w14:paraId="6D1CF529" w14:textId="747C13C0" w:rsidR="00CF10D7" w:rsidRPr="00476889" w:rsidRDefault="00CF10D7" w:rsidP="00CF10D7">
      <w:pPr>
        <w:pStyle w:val="Default"/>
        <w:rPr>
          <w:rFonts w:ascii="Arial" w:hAnsi="Arial" w:cs="Arial"/>
          <w:sz w:val="20"/>
          <w:szCs w:val="20"/>
        </w:rPr>
      </w:pPr>
      <w:r w:rsidRPr="00476889">
        <w:rPr>
          <w:rFonts w:ascii="Arial" w:hAnsi="Arial" w:cs="Arial"/>
          <w:b/>
          <w:bCs/>
          <w:sz w:val="20"/>
          <w:szCs w:val="20"/>
        </w:rPr>
        <w:t>Strategy for using the Ea</w:t>
      </w:r>
      <w:r w:rsidR="00256923" w:rsidRPr="00476889">
        <w:rPr>
          <w:rFonts w:ascii="Arial" w:hAnsi="Arial" w:cs="Arial"/>
          <w:b/>
          <w:bCs/>
          <w:sz w:val="20"/>
          <w:szCs w:val="20"/>
        </w:rPr>
        <w:t>rly Years Pupil Premium 202</w:t>
      </w:r>
      <w:r w:rsidR="00476889" w:rsidRPr="00476889">
        <w:rPr>
          <w:rFonts w:ascii="Arial" w:hAnsi="Arial" w:cs="Arial"/>
          <w:b/>
          <w:bCs/>
          <w:sz w:val="20"/>
          <w:szCs w:val="20"/>
        </w:rPr>
        <w:t>4-25</w:t>
      </w:r>
    </w:p>
    <w:p w14:paraId="0AF61025" w14:textId="77777777" w:rsidR="00CF10D7" w:rsidRPr="00476889" w:rsidRDefault="00CF10D7" w:rsidP="00CF10D7">
      <w:pPr>
        <w:pStyle w:val="Default"/>
        <w:rPr>
          <w:rFonts w:ascii="Arial" w:hAnsi="Arial" w:cs="Arial"/>
          <w:sz w:val="20"/>
          <w:szCs w:val="20"/>
        </w:rPr>
      </w:pPr>
      <w:r w:rsidRPr="00476889">
        <w:rPr>
          <w:rFonts w:ascii="Arial" w:hAnsi="Arial" w:cs="Arial"/>
          <w:sz w:val="20"/>
          <w:szCs w:val="20"/>
        </w:rPr>
        <w:t xml:space="preserve">Our knowledgeable staff offered a stimulating and challenging environment to support the children’s learning. We have been inspired by the ‘in the moment’ approach where staff work sensitively and offer support one to one for the children as they play and explore through experiences which they choose. </w:t>
      </w:r>
    </w:p>
    <w:p w14:paraId="1CD624CC" w14:textId="77777777" w:rsidR="00CF10D7" w:rsidRDefault="00CF10D7" w:rsidP="00CF10D7">
      <w:pPr>
        <w:pStyle w:val="Default"/>
        <w:rPr>
          <w:rFonts w:ascii="Arial" w:hAnsi="Arial" w:cs="Arial"/>
          <w:sz w:val="20"/>
          <w:szCs w:val="20"/>
        </w:rPr>
      </w:pPr>
      <w:r w:rsidRPr="00476889">
        <w:rPr>
          <w:rFonts w:ascii="Arial" w:hAnsi="Arial" w:cs="Arial"/>
          <w:sz w:val="20"/>
          <w:szCs w:val="20"/>
        </w:rPr>
        <w:t>We knew from our initial assessments that some of the children who are eligible for the Early Years Pupil Premium this year entered our nursery at the early stages of language development and many needed support to understand how to handle and react to their em</w:t>
      </w:r>
      <w:r w:rsidR="00F322CA" w:rsidRPr="00476889">
        <w:rPr>
          <w:rFonts w:ascii="Arial" w:hAnsi="Arial" w:cs="Arial"/>
          <w:sz w:val="20"/>
          <w:szCs w:val="20"/>
        </w:rPr>
        <w:t>otions. Self-confidence is</w:t>
      </w:r>
      <w:r w:rsidRPr="00476889">
        <w:rPr>
          <w:rFonts w:ascii="Arial" w:hAnsi="Arial" w:cs="Arial"/>
          <w:sz w:val="20"/>
          <w:szCs w:val="20"/>
        </w:rPr>
        <w:t xml:space="preserve"> as an area for development. </w:t>
      </w:r>
    </w:p>
    <w:p w14:paraId="6FD2C2F7" w14:textId="77777777" w:rsidR="00E27B90" w:rsidRDefault="00E27B90" w:rsidP="00CF10D7">
      <w:pPr>
        <w:pStyle w:val="Default"/>
        <w:rPr>
          <w:rFonts w:ascii="Arial" w:hAnsi="Arial" w:cs="Arial"/>
          <w:sz w:val="20"/>
          <w:szCs w:val="20"/>
        </w:rPr>
      </w:pPr>
    </w:p>
    <w:p w14:paraId="0CAD29B6" w14:textId="28C6E1E7" w:rsidR="00E27B90" w:rsidRPr="00E27B90" w:rsidRDefault="00E27B90" w:rsidP="00CF10D7">
      <w:pPr>
        <w:pStyle w:val="Default"/>
        <w:rPr>
          <w:rFonts w:ascii="Arial" w:hAnsi="Arial" w:cs="Arial"/>
          <w:b/>
          <w:bCs/>
          <w:sz w:val="20"/>
          <w:szCs w:val="20"/>
        </w:rPr>
      </w:pPr>
      <w:r w:rsidRPr="00E27B90">
        <w:rPr>
          <w:rFonts w:ascii="Arial" w:hAnsi="Arial" w:cs="Arial"/>
          <w:b/>
          <w:bCs/>
          <w:sz w:val="20"/>
          <w:szCs w:val="20"/>
        </w:rPr>
        <w:t>Numbers of children and income</w:t>
      </w:r>
    </w:p>
    <w:p w14:paraId="25DAA93F" w14:textId="77777777" w:rsidR="00847716" w:rsidRPr="00476889" w:rsidRDefault="00847716" w:rsidP="00847716">
      <w:pPr>
        <w:pStyle w:val="Default"/>
        <w:ind w:left="769"/>
        <w:rPr>
          <w:rFonts w:ascii="Arial" w:hAnsi="Arial" w:cs="Arial"/>
          <w:sz w:val="20"/>
          <w:szCs w:val="20"/>
        </w:rPr>
      </w:pPr>
    </w:p>
    <w:p w14:paraId="509B9A4C" w14:textId="77777777" w:rsidR="00847716" w:rsidRPr="00476889" w:rsidRDefault="00847716" w:rsidP="00847716">
      <w:pPr>
        <w:pStyle w:val="Default"/>
        <w:rPr>
          <w:rFonts w:ascii="Arial" w:hAnsi="Arial" w:cs="Arial"/>
          <w:sz w:val="20"/>
          <w:szCs w:val="20"/>
        </w:rPr>
      </w:pPr>
      <w:r w:rsidRPr="00476889">
        <w:rPr>
          <w:rFonts w:ascii="Arial" w:hAnsi="Arial" w:cs="Arial"/>
          <w:b/>
          <w:sz w:val="20"/>
          <w:szCs w:val="20"/>
        </w:rPr>
        <w:t>Rationale</w:t>
      </w:r>
      <w:r w:rsidR="003515FE" w:rsidRPr="00476889">
        <w:rPr>
          <w:rFonts w:ascii="Arial" w:hAnsi="Arial" w:cs="Arial"/>
          <w:sz w:val="20"/>
          <w:szCs w:val="20"/>
        </w:rPr>
        <w:t xml:space="preserve"> </w:t>
      </w:r>
    </w:p>
    <w:p w14:paraId="7C7B293A" w14:textId="24ED661A" w:rsidR="00CF10D7" w:rsidRPr="00476889" w:rsidRDefault="00476889" w:rsidP="00847716">
      <w:pPr>
        <w:pStyle w:val="Default"/>
        <w:rPr>
          <w:rFonts w:ascii="Arial" w:hAnsi="Arial" w:cs="Arial"/>
          <w:sz w:val="20"/>
          <w:szCs w:val="20"/>
        </w:rPr>
      </w:pPr>
      <w:r w:rsidRPr="00476889">
        <w:rPr>
          <w:rFonts w:ascii="Arial" w:hAnsi="Arial" w:cs="Arial"/>
          <w:sz w:val="20"/>
          <w:szCs w:val="20"/>
        </w:rPr>
        <w:t>Baseline data suggested that areas of need were Personal, Social and Emotional Development and Communication (speaking)</w:t>
      </w:r>
    </w:p>
    <w:p w14:paraId="1BE98B30" w14:textId="77777777" w:rsidR="00847716" w:rsidRPr="00476889" w:rsidRDefault="00847716" w:rsidP="00CF10D7">
      <w:pPr>
        <w:pStyle w:val="Default"/>
        <w:rPr>
          <w:rFonts w:ascii="Arial" w:hAnsi="Arial" w:cs="Arial"/>
          <w:sz w:val="20"/>
          <w:szCs w:val="20"/>
        </w:rPr>
      </w:pPr>
    </w:p>
    <w:p w14:paraId="698D6051" w14:textId="77777777" w:rsidR="00CF10D7" w:rsidRPr="00476889" w:rsidRDefault="00CF10D7" w:rsidP="00CF10D7">
      <w:pPr>
        <w:pStyle w:val="Default"/>
        <w:rPr>
          <w:rFonts w:ascii="Arial" w:hAnsi="Arial" w:cs="Arial"/>
          <w:sz w:val="20"/>
          <w:szCs w:val="20"/>
        </w:rPr>
      </w:pPr>
      <w:r w:rsidRPr="00476889">
        <w:rPr>
          <w:rFonts w:ascii="Arial" w:hAnsi="Arial" w:cs="Arial"/>
          <w:b/>
          <w:bCs/>
          <w:sz w:val="20"/>
          <w:szCs w:val="20"/>
        </w:rPr>
        <w:t xml:space="preserve">Impact and Outcomes </w:t>
      </w:r>
    </w:p>
    <w:p w14:paraId="6FB4DFE2" w14:textId="77777777" w:rsidR="00CF10D7" w:rsidRDefault="00CF10D7" w:rsidP="00CF10D7">
      <w:pPr>
        <w:pStyle w:val="Default"/>
        <w:rPr>
          <w:rFonts w:ascii="Arial" w:hAnsi="Arial" w:cs="Arial"/>
          <w:sz w:val="20"/>
          <w:szCs w:val="20"/>
        </w:rPr>
      </w:pPr>
      <w:r w:rsidRPr="00476889">
        <w:rPr>
          <w:rFonts w:ascii="Arial" w:hAnsi="Arial" w:cs="Arial"/>
          <w:sz w:val="20"/>
          <w:szCs w:val="20"/>
        </w:rPr>
        <w:t>The aim of this approach was to ensure that our children developed their speech, language and communication skills that enabled them to access the curriculum and make progress in their learning and development. Increasing willingness to ‘have a go’ spread to other areas of the curriculum.</w:t>
      </w:r>
      <w:r w:rsidR="00847716" w:rsidRPr="00476889">
        <w:rPr>
          <w:rFonts w:ascii="Arial" w:hAnsi="Arial" w:cs="Arial"/>
          <w:sz w:val="20"/>
          <w:szCs w:val="20"/>
        </w:rPr>
        <w:t xml:space="preserve"> The increased expectations in number in the revised ELG will affect this cohort at the end of their EYFS journey. There is an immediate need to raise attainment and progress to support transition to primary .PSD is low on entry across the cohort (an immediate </w:t>
      </w:r>
      <w:r w:rsidR="00F322CA" w:rsidRPr="00476889">
        <w:rPr>
          <w:rFonts w:ascii="Arial" w:hAnsi="Arial" w:cs="Arial"/>
          <w:sz w:val="20"/>
          <w:szCs w:val="20"/>
        </w:rPr>
        <w:t>effect</w:t>
      </w:r>
      <w:r w:rsidR="00847716" w:rsidRPr="00476889">
        <w:rPr>
          <w:rFonts w:ascii="Arial" w:hAnsi="Arial" w:cs="Arial"/>
          <w:sz w:val="20"/>
          <w:szCs w:val="20"/>
        </w:rPr>
        <w:t xml:space="preserve"> of lockdown). A school wide focus on managing feelings and behaviour and self-regulation is a school priority</w:t>
      </w:r>
    </w:p>
    <w:p w14:paraId="61DB1F38" w14:textId="2BCCDF90" w:rsidR="00351339" w:rsidRDefault="00351339" w:rsidP="00CF10D7">
      <w:pPr>
        <w:pStyle w:val="Default"/>
        <w:rPr>
          <w:rFonts w:ascii="Arial" w:hAnsi="Arial" w:cs="Arial"/>
          <w:sz w:val="20"/>
          <w:szCs w:val="20"/>
        </w:rPr>
      </w:pPr>
      <w:r>
        <w:rPr>
          <w:rFonts w:ascii="Arial" w:hAnsi="Arial" w:cs="Arial"/>
          <w:sz w:val="20"/>
          <w:szCs w:val="20"/>
        </w:rPr>
        <w:t xml:space="preserve">  </w:t>
      </w:r>
    </w:p>
    <w:p w14:paraId="08FDE6DA" w14:textId="77777777" w:rsidR="00CF10D7" w:rsidRPr="00476889" w:rsidRDefault="00CF10D7" w:rsidP="00CF10D7">
      <w:pPr>
        <w:pStyle w:val="Default"/>
        <w:rPr>
          <w:rFonts w:ascii="Arial" w:hAnsi="Arial" w:cs="Arial"/>
          <w:sz w:val="20"/>
          <w:szCs w:val="20"/>
        </w:rPr>
      </w:pPr>
    </w:p>
    <w:p w14:paraId="0F8DF584" w14:textId="77777777" w:rsidR="00CF10D7" w:rsidRPr="00476889" w:rsidRDefault="00CF10D7" w:rsidP="00CF10D7">
      <w:pPr>
        <w:pStyle w:val="Default"/>
        <w:rPr>
          <w:rFonts w:ascii="Arial" w:hAnsi="Arial" w:cs="Arial"/>
          <w:sz w:val="20"/>
          <w:szCs w:val="20"/>
        </w:rPr>
      </w:pPr>
      <w:r w:rsidRPr="00476889">
        <w:rPr>
          <w:rFonts w:ascii="Arial" w:hAnsi="Arial" w:cs="Arial"/>
          <w:sz w:val="20"/>
          <w:szCs w:val="20"/>
        </w:rPr>
        <w:t xml:space="preserve"> </w:t>
      </w:r>
      <w:r w:rsidRPr="00476889">
        <w:rPr>
          <w:rFonts w:ascii="Arial" w:hAnsi="Arial" w:cs="Arial"/>
          <w:b/>
          <w:bCs/>
          <w:sz w:val="20"/>
          <w:szCs w:val="20"/>
        </w:rPr>
        <w:t xml:space="preserve">Monitoring, Assessment and Evidence </w:t>
      </w:r>
    </w:p>
    <w:p w14:paraId="541084E5" w14:textId="4272A785" w:rsidR="00847716" w:rsidRDefault="00256923" w:rsidP="00256923">
      <w:pPr>
        <w:pStyle w:val="Default"/>
        <w:spacing w:after="184"/>
        <w:rPr>
          <w:rFonts w:ascii="Arial" w:hAnsi="Arial" w:cs="Arial"/>
          <w:sz w:val="20"/>
          <w:szCs w:val="20"/>
        </w:rPr>
      </w:pPr>
      <w:r w:rsidRPr="00476889">
        <w:rPr>
          <w:rFonts w:ascii="Arial" w:hAnsi="Arial" w:cs="Arial"/>
          <w:sz w:val="20"/>
          <w:szCs w:val="20"/>
        </w:rPr>
        <w:t xml:space="preserve">              </w:t>
      </w:r>
      <w:r w:rsidR="00CF10D7" w:rsidRPr="00476889">
        <w:rPr>
          <w:rFonts w:ascii="Arial" w:hAnsi="Arial" w:cs="Arial"/>
          <w:sz w:val="20"/>
          <w:szCs w:val="20"/>
        </w:rPr>
        <w:t xml:space="preserve">Termly progress and data analysis </w:t>
      </w:r>
      <w:r w:rsidRPr="00476889">
        <w:rPr>
          <w:rFonts w:ascii="Arial" w:hAnsi="Arial" w:cs="Arial"/>
          <w:sz w:val="20"/>
          <w:szCs w:val="20"/>
        </w:rPr>
        <w:t xml:space="preserve">          </w:t>
      </w:r>
      <w:r w:rsidR="002728A6" w:rsidRPr="00476889">
        <w:rPr>
          <w:rFonts w:ascii="Arial" w:hAnsi="Arial" w:cs="Arial"/>
          <w:sz w:val="20"/>
          <w:szCs w:val="20"/>
        </w:rPr>
        <w:t>Half termly gaps and strengths of EYPP children</w:t>
      </w:r>
      <w:r w:rsidRPr="00476889">
        <w:rPr>
          <w:rFonts w:ascii="Arial" w:hAnsi="Arial" w:cs="Arial"/>
          <w:sz w:val="20"/>
          <w:szCs w:val="20"/>
        </w:rPr>
        <w:t xml:space="preserve">     </w:t>
      </w:r>
      <w:r w:rsidR="00847716" w:rsidRPr="00476889">
        <w:rPr>
          <w:rFonts w:ascii="Arial" w:hAnsi="Arial" w:cs="Arial"/>
          <w:sz w:val="20"/>
          <w:szCs w:val="20"/>
        </w:rPr>
        <w:t>Observations/case study EYPP child</w:t>
      </w:r>
    </w:p>
    <w:tbl>
      <w:tblPr>
        <w:tblStyle w:val="TableGrid"/>
        <w:tblW w:w="0" w:type="auto"/>
        <w:tblLook w:val="04A0" w:firstRow="1" w:lastRow="0" w:firstColumn="1" w:lastColumn="0" w:noHBand="0" w:noVBand="1"/>
      </w:tblPr>
      <w:tblGrid>
        <w:gridCol w:w="5042"/>
        <w:gridCol w:w="5042"/>
        <w:gridCol w:w="5042"/>
      </w:tblGrid>
      <w:tr w:rsidR="00476889" w14:paraId="44B62FAC" w14:textId="77777777" w:rsidTr="00A1214F">
        <w:tc>
          <w:tcPr>
            <w:tcW w:w="15126" w:type="dxa"/>
            <w:gridSpan w:val="3"/>
          </w:tcPr>
          <w:p w14:paraId="1CA36DC0" w14:textId="26F0EB57" w:rsidR="00476889" w:rsidRPr="00476889" w:rsidRDefault="00476889" w:rsidP="00476889">
            <w:pPr>
              <w:pStyle w:val="Default"/>
              <w:spacing w:after="184"/>
              <w:jc w:val="center"/>
              <w:rPr>
                <w:rFonts w:ascii="Arial" w:hAnsi="Arial" w:cs="Arial"/>
                <w:b/>
                <w:bCs/>
                <w:sz w:val="20"/>
                <w:szCs w:val="20"/>
              </w:rPr>
            </w:pPr>
            <w:r w:rsidRPr="00476889">
              <w:rPr>
                <w:rFonts w:ascii="Arial" w:hAnsi="Arial" w:cs="Arial"/>
                <w:b/>
                <w:bCs/>
                <w:sz w:val="20"/>
                <w:szCs w:val="20"/>
              </w:rPr>
              <w:t>What we needed to do to support this work</w:t>
            </w:r>
          </w:p>
        </w:tc>
      </w:tr>
      <w:tr w:rsidR="00476889" w14:paraId="7B792610" w14:textId="77777777" w:rsidTr="00476889">
        <w:tc>
          <w:tcPr>
            <w:tcW w:w="5042" w:type="dxa"/>
          </w:tcPr>
          <w:p w14:paraId="1C4FB9EB" w14:textId="0CD68EF2" w:rsidR="00476889" w:rsidRDefault="00476889" w:rsidP="00476889">
            <w:pPr>
              <w:pStyle w:val="Default"/>
              <w:spacing w:after="184"/>
              <w:jc w:val="center"/>
              <w:rPr>
                <w:rFonts w:ascii="Arial" w:hAnsi="Arial" w:cs="Arial"/>
                <w:sz w:val="20"/>
                <w:szCs w:val="20"/>
              </w:rPr>
            </w:pPr>
            <w:r w:rsidRPr="00476889">
              <w:rPr>
                <w:rFonts w:ascii="Arial" w:hAnsi="Arial" w:cs="Arial"/>
                <w:sz w:val="20"/>
                <w:szCs w:val="20"/>
              </w:rPr>
              <w:t>Provide additional 1 to 1 time for children eligible</w:t>
            </w:r>
          </w:p>
        </w:tc>
        <w:tc>
          <w:tcPr>
            <w:tcW w:w="5042" w:type="dxa"/>
          </w:tcPr>
          <w:p w14:paraId="399C3D72" w14:textId="6221AEC7" w:rsidR="00476889" w:rsidRDefault="00476889" w:rsidP="00476889">
            <w:pPr>
              <w:pStyle w:val="Default"/>
              <w:spacing w:after="184"/>
              <w:jc w:val="center"/>
              <w:rPr>
                <w:rFonts w:ascii="Arial" w:hAnsi="Arial" w:cs="Arial"/>
                <w:sz w:val="20"/>
                <w:szCs w:val="20"/>
              </w:rPr>
            </w:pPr>
            <w:r w:rsidRPr="00476889">
              <w:rPr>
                <w:rFonts w:ascii="Arial" w:hAnsi="Arial" w:cs="Arial"/>
                <w:sz w:val="20"/>
                <w:szCs w:val="20"/>
              </w:rPr>
              <w:t>Organise small language groups/1:1 (</w:t>
            </w:r>
            <w:proofErr w:type="spellStart"/>
            <w:r w:rsidRPr="00476889">
              <w:rPr>
                <w:rFonts w:ascii="Arial" w:hAnsi="Arial" w:cs="Arial"/>
                <w:sz w:val="20"/>
                <w:szCs w:val="20"/>
              </w:rPr>
              <w:t>Wellcom</w:t>
            </w:r>
            <w:proofErr w:type="spellEnd"/>
            <w:r w:rsidRPr="00476889">
              <w:rPr>
                <w:rFonts w:ascii="Arial" w:hAnsi="Arial" w:cs="Arial"/>
                <w:sz w:val="20"/>
                <w:szCs w:val="20"/>
              </w:rPr>
              <w:t>)</w:t>
            </w:r>
          </w:p>
        </w:tc>
        <w:tc>
          <w:tcPr>
            <w:tcW w:w="5042" w:type="dxa"/>
          </w:tcPr>
          <w:p w14:paraId="39EE066C" w14:textId="74C2F960" w:rsidR="00476889" w:rsidRDefault="00476889" w:rsidP="00476889">
            <w:pPr>
              <w:pStyle w:val="Default"/>
              <w:spacing w:after="184"/>
              <w:jc w:val="center"/>
              <w:rPr>
                <w:rFonts w:ascii="Arial" w:hAnsi="Arial" w:cs="Arial"/>
                <w:sz w:val="20"/>
                <w:szCs w:val="20"/>
              </w:rPr>
            </w:pPr>
          </w:p>
        </w:tc>
      </w:tr>
      <w:tr w:rsidR="00476889" w14:paraId="74FD3B48" w14:textId="77777777" w:rsidTr="00476889">
        <w:tc>
          <w:tcPr>
            <w:tcW w:w="5042" w:type="dxa"/>
          </w:tcPr>
          <w:p w14:paraId="71B622EE" w14:textId="30D6109F" w:rsidR="00476889" w:rsidRDefault="00476889" w:rsidP="00476889">
            <w:pPr>
              <w:pStyle w:val="Default"/>
              <w:spacing w:after="184"/>
              <w:jc w:val="center"/>
              <w:rPr>
                <w:rFonts w:ascii="Arial" w:hAnsi="Arial" w:cs="Arial"/>
                <w:sz w:val="20"/>
                <w:szCs w:val="20"/>
              </w:rPr>
            </w:pPr>
            <w:r w:rsidRPr="00476889">
              <w:rPr>
                <w:rFonts w:ascii="Arial" w:hAnsi="Arial" w:cs="Arial"/>
                <w:sz w:val="20"/>
                <w:szCs w:val="20"/>
              </w:rPr>
              <w:t>Offer/monitor additional focus child time</w:t>
            </w:r>
          </w:p>
        </w:tc>
        <w:tc>
          <w:tcPr>
            <w:tcW w:w="5042" w:type="dxa"/>
          </w:tcPr>
          <w:p w14:paraId="7366ECAF" w14:textId="09A4819A" w:rsidR="00476889" w:rsidRDefault="00476889" w:rsidP="00476889">
            <w:pPr>
              <w:pStyle w:val="Default"/>
              <w:spacing w:after="184"/>
              <w:jc w:val="center"/>
              <w:rPr>
                <w:rFonts w:ascii="Arial" w:hAnsi="Arial" w:cs="Arial"/>
                <w:sz w:val="20"/>
                <w:szCs w:val="20"/>
              </w:rPr>
            </w:pPr>
            <w:r w:rsidRPr="00476889">
              <w:rPr>
                <w:rFonts w:ascii="Arial" w:hAnsi="Arial" w:cs="Arial"/>
                <w:sz w:val="20"/>
                <w:szCs w:val="20"/>
              </w:rPr>
              <w:t>Suggest and support additional transition visits to feeder Primary Schools where appropriate</w:t>
            </w:r>
          </w:p>
        </w:tc>
        <w:tc>
          <w:tcPr>
            <w:tcW w:w="5042" w:type="dxa"/>
          </w:tcPr>
          <w:p w14:paraId="4E92E8E3" w14:textId="4D2A8F29" w:rsidR="00476889" w:rsidRDefault="00476889" w:rsidP="00476889">
            <w:pPr>
              <w:pStyle w:val="Default"/>
              <w:spacing w:after="184"/>
              <w:jc w:val="center"/>
              <w:rPr>
                <w:rFonts w:ascii="Arial" w:hAnsi="Arial" w:cs="Arial"/>
                <w:sz w:val="20"/>
                <w:szCs w:val="20"/>
              </w:rPr>
            </w:pPr>
            <w:r>
              <w:rPr>
                <w:rFonts w:ascii="Arial" w:hAnsi="Arial" w:cs="Arial"/>
                <w:sz w:val="20"/>
                <w:szCs w:val="20"/>
              </w:rPr>
              <w:t>Additional SALT time (purchased private assessments using Talking Toolbox)</w:t>
            </w:r>
          </w:p>
        </w:tc>
      </w:tr>
    </w:tbl>
    <w:p w14:paraId="63BFB27C" w14:textId="77777777" w:rsidR="00476889" w:rsidRPr="00476889" w:rsidRDefault="00476889" w:rsidP="00256923">
      <w:pPr>
        <w:pStyle w:val="Default"/>
        <w:spacing w:after="184"/>
        <w:rPr>
          <w:rFonts w:ascii="Arial" w:hAnsi="Arial" w:cs="Arial"/>
          <w:sz w:val="20"/>
          <w:szCs w:val="20"/>
        </w:rPr>
      </w:pPr>
    </w:p>
    <w:p w14:paraId="18C72B06" w14:textId="77777777" w:rsidR="00CF10D7" w:rsidRPr="00476889" w:rsidRDefault="00CF10D7" w:rsidP="00CF10D7">
      <w:pPr>
        <w:pStyle w:val="Default"/>
        <w:rPr>
          <w:rFonts w:ascii="Arial" w:hAnsi="Arial" w:cs="Arial"/>
          <w:sz w:val="20"/>
          <w:szCs w:val="20"/>
        </w:rPr>
      </w:pPr>
    </w:p>
    <w:tbl>
      <w:tblPr>
        <w:tblW w:w="0" w:type="auto"/>
        <w:tblBorders>
          <w:top w:val="nil"/>
          <w:left w:val="nil"/>
          <w:bottom w:val="nil"/>
          <w:right w:val="nil"/>
        </w:tblBorders>
        <w:tblLayout w:type="fixed"/>
        <w:tblLook w:val="0000" w:firstRow="0" w:lastRow="0" w:firstColumn="0" w:lastColumn="0" w:noHBand="0" w:noVBand="0"/>
      </w:tblPr>
      <w:tblGrid>
        <w:gridCol w:w="4426"/>
        <w:gridCol w:w="4427"/>
      </w:tblGrid>
      <w:tr w:rsidR="00CF10D7" w:rsidRPr="00476889" w14:paraId="4E7D07A6" w14:textId="77777777">
        <w:trPr>
          <w:trHeight w:val="140"/>
        </w:trPr>
        <w:tc>
          <w:tcPr>
            <w:tcW w:w="8853" w:type="dxa"/>
            <w:gridSpan w:val="2"/>
          </w:tcPr>
          <w:p w14:paraId="014BA81D" w14:textId="77777777" w:rsidR="00CF10D7" w:rsidRPr="00476889" w:rsidRDefault="00CF10D7" w:rsidP="00256923">
            <w:pPr>
              <w:pStyle w:val="Default"/>
              <w:rPr>
                <w:rFonts w:ascii="Arial" w:hAnsi="Arial" w:cs="Arial"/>
                <w:sz w:val="20"/>
                <w:szCs w:val="20"/>
              </w:rPr>
            </w:pPr>
          </w:p>
        </w:tc>
      </w:tr>
      <w:tr w:rsidR="00CF10D7" w:rsidRPr="00476889" w14:paraId="73C95388" w14:textId="77777777" w:rsidTr="00256923">
        <w:trPr>
          <w:trHeight w:val="1292"/>
        </w:trPr>
        <w:tc>
          <w:tcPr>
            <w:tcW w:w="4426" w:type="dxa"/>
          </w:tcPr>
          <w:p w14:paraId="2D9B3E1A" w14:textId="77777777" w:rsidR="00CF10D7" w:rsidRPr="00476889" w:rsidRDefault="00CF10D7" w:rsidP="003515FE">
            <w:pPr>
              <w:pStyle w:val="Default"/>
              <w:rPr>
                <w:rFonts w:ascii="Arial" w:hAnsi="Arial" w:cs="Arial"/>
                <w:sz w:val="20"/>
                <w:szCs w:val="20"/>
              </w:rPr>
            </w:pPr>
          </w:p>
        </w:tc>
        <w:tc>
          <w:tcPr>
            <w:tcW w:w="4427" w:type="dxa"/>
          </w:tcPr>
          <w:p w14:paraId="37AA45BC" w14:textId="77777777" w:rsidR="00256923" w:rsidRPr="00476889" w:rsidRDefault="00256923" w:rsidP="00256923">
            <w:pPr>
              <w:pStyle w:val="Default"/>
              <w:rPr>
                <w:rFonts w:ascii="Arial" w:hAnsi="Arial" w:cs="Arial"/>
                <w:bCs/>
                <w:sz w:val="20"/>
                <w:szCs w:val="20"/>
              </w:rPr>
            </w:pPr>
          </w:p>
          <w:p w14:paraId="1A42126B" w14:textId="77777777" w:rsidR="003515FE" w:rsidRPr="00476889" w:rsidRDefault="003515FE">
            <w:pPr>
              <w:pStyle w:val="Default"/>
              <w:rPr>
                <w:rFonts w:ascii="Arial" w:hAnsi="Arial" w:cs="Arial"/>
                <w:bCs/>
                <w:sz w:val="20"/>
                <w:szCs w:val="20"/>
              </w:rPr>
            </w:pPr>
          </w:p>
        </w:tc>
      </w:tr>
    </w:tbl>
    <w:tbl>
      <w:tblPr>
        <w:tblStyle w:val="TableGrid"/>
        <w:tblW w:w="15126" w:type="dxa"/>
        <w:tblLook w:val="04A0" w:firstRow="1" w:lastRow="0" w:firstColumn="1" w:lastColumn="0" w:noHBand="0" w:noVBand="1"/>
      </w:tblPr>
      <w:tblGrid>
        <w:gridCol w:w="4461"/>
        <w:gridCol w:w="5464"/>
        <w:gridCol w:w="5201"/>
      </w:tblGrid>
      <w:tr w:rsidR="00256923" w:rsidRPr="00476889" w14:paraId="5DB57115" w14:textId="77777777" w:rsidTr="00256923">
        <w:tc>
          <w:tcPr>
            <w:tcW w:w="4461" w:type="dxa"/>
          </w:tcPr>
          <w:p w14:paraId="0D967F3F" w14:textId="77777777" w:rsidR="00256923" w:rsidRPr="00476889" w:rsidRDefault="00256923" w:rsidP="00CA6232">
            <w:pPr>
              <w:pStyle w:val="Default"/>
              <w:jc w:val="center"/>
              <w:rPr>
                <w:rFonts w:ascii="Arial" w:hAnsi="Arial" w:cs="Arial"/>
                <w:sz w:val="20"/>
                <w:szCs w:val="20"/>
              </w:rPr>
            </w:pPr>
            <w:r w:rsidRPr="00476889">
              <w:rPr>
                <w:rFonts w:ascii="Arial" w:hAnsi="Arial" w:cs="Arial"/>
                <w:b/>
                <w:bCs/>
                <w:sz w:val="20"/>
                <w:szCs w:val="20"/>
              </w:rPr>
              <w:t>Areas of support identified after initial assessments</w:t>
            </w:r>
          </w:p>
        </w:tc>
        <w:tc>
          <w:tcPr>
            <w:tcW w:w="5464" w:type="dxa"/>
          </w:tcPr>
          <w:p w14:paraId="619C4AA8" w14:textId="77777777" w:rsidR="00256923" w:rsidRPr="00476889" w:rsidRDefault="00256923" w:rsidP="00CA6232">
            <w:pPr>
              <w:pStyle w:val="Default"/>
              <w:jc w:val="center"/>
              <w:rPr>
                <w:rFonts w:ascii="Arial" w:hAnsi="Arial" w:cs="Arial"/>
                <w:sz w:val="20"/>
                <w:szCs w:val="20"/>
              </w:rPr>
            </w:pPr>
            <w:r w:rsidRPr="00476889">
              <w:rPr>
                <w:rFonts w:ascii="Arial" w:hAnsi="Arial" w:cs="Arial"/>
                <w:b/>
                <w:bCs/>
                <w:sz w:val="20"/>
                <w:szCs w:val="20"/>
              </w:rPr>
              <w:t>Measurement of impact (area of learning, characteristic of effective learning, well-being and involvement scale)</w:t>
            </w:r>
          </w:p>
        </w:tc>
        <w:tc>
          <w:tcPr>
            <w:tcW w:w="5201" w:type="dxa"/>
          </w:tcPr>
          <w:p w14:paraId="43E906C4" w14:textId="77777777" w:rsidR="00256923" w:rsidRPr="00476889" w:rsidRDefault="00256923" w:rsidP="00CA6232">
            <w:pPr>
              <w:pStyle w:val="Default"/>
              <w:jc w:val="center"/>
              <w:rPr>
                <w:rFonts w:ascii="Arial" w:hAnsi="Arial" w:cs="Arial"/>
                <w:b/>
                <w:bCs/>
                <w:sz w:val="20"/>
                <w:szCs w:val="20"/>
              </w:rPr>
            </w:pPr>
            <w:r w:rsidRPr="00476889">
              <w:rPr>
                <w:rFonts w:ascii="Arial" w:hAnsi="Arial" w:cs="Arial"/>
                <w:b/>
                <w:bCs/>
                <w:sz w:val="20"/>
                <w:szCs w:val="20"/>
              </w:rPr>
              <w:t>Resources</w:t>
            </w:r>
          </w:p>
        </w:tc>
      </w:tr>
      <w:tr w:rsidR="00256923" w:rsidRPr="00476889" w14:paraId="0FF973A8" w14:textId="77777777" w:rsidTr="00256923">
        <w:tc>
          <w:tcPr>
            <w:tcW w:w="4461" w:type="dxa"/>
          </w:tcPr>
          <w:p w14:paraId="14C01157" w14:textId="64114604"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communication, speech and language development</w:t>
            </w:r>
          </w:p>
        </w:tc>
        <w:tc>
          <w:tcPr>
            <w:tcW w:w="5464" w:type="dxa"/>
          </w:tcPr>
          <w:p w14:paraId="276600DC" w14:textId="76297BE9"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Exit data in line with typical</w:t>
            </w:r>
            <w:r w:rsidR="00351339">
              <w:rPr>
                <w:rFonts w:ascii="Arial" w:hAnsi="Arial" w:cs="Arial"/>
                <w:sz w:val="20"/>
                <w:szCs w:val="20"/>
              </w:rPr>
              <w:t xml:space="preserve"> where no SEND barriers exist</w:t>
            </w:r>
          </w:p>
          <w:p w14:paraId="0F3BD1FD" w14:textId="77777777"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Access to curriculum</w:t>
            </w:r>
          </w:p>
        </w:tc>
        <w:tc>
          <w:tcPr>
            <w:tcW w:w="5201" w:type="dxa"/>
          </w:tcPr>
          <w:p w14:paraId="04F39721" w14:textId="77777777"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 xml:space="preserve">Staff to cover </w:t>
            </w:r>
            <w:proofErr w:type="spellStart"/>
            <w:r w:rsidRPr="00476889">
              <w:rPr>
                <w:rFonts w:ascii="Arial" w:hAnsi="Arial" w:cs="Arial"/>
                <w:sz w:val="20"/>
                <w:szCs w:val="20"/>
              </w:rPr>
              <w:t>Wellcom</w:t>
            </w:r>
            <w:proofErr w:type="spellEnd"/>
            <w:r w:rsidRPr="00476889">
              <w:rPr>
                <w:rFonts w:ascii="Arial" w:hAnsi="Arial" w:cs="Arial"/>
                <w:sz w:val="20"/>
                <w:szCs w:val="20"/>
              </w:rPr>
              <w:t xml:space="preserve"> admin time</w:t>
            </w:r>
          </w:p>
        </w:tc>
      </w:tr>
      <w:tr w:rsidR="00256923" w:rsidRPr="00476889" w14:paraId="5B76FDA6" w14:textId="77777777" w:rsidTr="00256923">
        <w:tc>
          <w:tcPr>
            <w:tcW w:w="4461" w:type="dxa"/>
          </w:tcPr>
          <w:p w14:paraId="6FD69D04" w14:textId="05B801F7"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well-being and emotional resilience</w:t>
            </w:r>
          </w:p>
        </w:tc>
        <w:tc>
          <w:tcPr>
            <w:tcW w:w="5464" w:type="dxa"/>
          </w:tcPr>
          <w:p w14:paraId="17528A02" w14:textId="7F301387"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Well-being and involvement scale, personal, social and emotional development</w:t>
            </w:r>
          </w:p>
          <w:p w14:paraId="54852366" w14:textId="726A2816"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Being willing to ‘have a go’</w:t>
            </w:r>
          </w:p>
          <w:p w14:paraId="69CF69F3" w14:textId="77777777" w:rsidR="00256923" w:rsidRPr="00476889" w:rsidRDefault="00256923" w:rsidP="00351339">
            <w:pPr>
              <w:pStyle w:val="Default"/>
              <w:jc w:val="center"/>
              <w:rPr>
                <w:rFonts w:ascii="Arial" w:hAnsi="Arial" w:cs="Arial"/>
                <w:sz w:val="20"/>
                <w:szCs w:val="20"/>
              </w:rPr>
            </w:pPr>
          </w:p>
        </w:tc>
        <w:tc>
          <w:tcPr>
            <w:tcW w:w="5201" w:type="dxa"/>
          </w:tcPr>
          <w:p w14:paraId="552089DC" w14:textId="77777777"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Resources to support PSD activities</w:t>
            </w:r>
          </w:p>
          <w:p w14:paraId="5C559D0E" w14:textId="77777777" w:rsidR="00256923" w:rsidRPr="00476889" w:rsidRDefault="00256923" w:rsidP="00351339">
            <w:pPr>
              <w:pStyle w:val="Default"/>
              <w:jc w:val="center"/>
              <w:rPr>
                <w:rFonts w:ascii="Arial" w:hAnsi="Arial" w:cs="Arial"/>
                <w:sz w:val="20"/>
                <w:szCs w:val="20"/>
              </w:rPr>
            </w:pPr>
            <w:r w:rsidRPr="00476889">
              <w:rPr>
                <w:rFonts w:ascii="Arial" w:hAnsi="Arial" w:cs="Arial"/>
                <w:sz w:val="20"/>
                <w:szCs w:val="20"/>
              </w:rPr>
              <w:t>Staff time to deliver small group nurture group</w:t>
            </w:r>
          </w:p>
        </w:tc>
      </w:tr>
    </w:tbl>
    <w:p w14:paraId="7EEDA1CB" w14:textId="77777777" w:rsidR="00CA6232" w:rsidRPr="00476889" w:rsidRDefault="00CA6232">
      <w:pPr>
        <w:rPr>
          <w:rFonts w:ascii="Arial" w:hAnsi="Arial" w:cs="Arial"/>
          <w:sz w:val="20"/>
          <w:szCs w:val="20"/>
        </w:rPr>
      </w:pPr>
    </w:p>
    <w:sectPr w:rsidR="00CA6232" w:rsidRPr="00476889" w:rsidSect="00256923">
      <w:headerReference w:type="default" r:id="rId7"/>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AB5C6" w14:textId="77777777" w:rsidR="00852ED0" w:rsidRDefault="00852ED0" w:rsidP="002728A6">
      <w:pPr>
        <w:spacing w:after="0" w:line="240" w:lineRule="auto"/>
      </w:pPr>
      <w:r>
        <w:separator/>
      </w:r>
    </w:p>
  </w:endnote>
  <w:endnote w:type="continuationSeparator" w:id="0">
    <w:p w14:paraId="4952AD46" w14:textId="77777777" w:rsidR="00852ED0" w:rsidRDefault="00852ED0" w:rsidP="0027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354A6" w14:textId="77777777" w:rsidR="00852ED0" w:rsidRDefault="00852ED0" w:rsidP="002728A6">
      <w:pPr>
        <w:spacing w:after="0" w:line="240" w:lineRule="auto"/>
      </w:pPr>
      <w:r>
        <w:separator/>
      </w:r>
    </w:p>
  </w:footnote>
  <w:footnote w:type="continuationSeparator" w:id="0">
    <w:p w14:paraId="5A85390A" w14:textId="77777777" w:rsidR="00852ED0" w:rsidRDefault="00852ED0" w:rsidP="00272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04113" w14:textId="77777777" w:rsidR="002728A6" w:rsidRDefault="002728A6" w:rsidP="002728A6">
    <w:pPr>
      <w:pStyle w:val="Header"/>
      <w:jc w:val="center"/>
    </w:pPr>
    <w:r>
      <w:rPr>
        <w:noProof/>
        <w:lang w:eastAsia="en-GB"/>
      </w:rPr>
      <w:drawing>
        <wp:inline distT="0" distB="0" distL="0" distR="0" wp14:anchorId="078AAA7F" wp14:editId="6DBB7D76">
          <wp:extent cx="540689" cy="540689"/>
          <wp:effectExtent l="0" t="0" r="0" b="0"/>
          <wp:docPr id="1" name="Picture 1" descr="C:\Users\HeadT\Pictures\Tre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Pictures\Tre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700" cy="54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74324"/>
    <w:multiLevelType w:val="hybridMultilevel"/>
    <w:tmpl w:val="1844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5269F"/>
    <w:multiLevelType w:val="hybridMultilevel"/>
    <w:tmpl w:val="BB7E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FF4A91"/>
    <w:multiLevelType w:val="hybridMultilevel"/>
    <w:tmpl w:val="13761A1C"/>
    <w:lvl w:ilvl="0" w:tplc="FE105638">
      <w:numFmt w:val="bullet"/>
      <w:lvlText w:val=""/>
      <w:lvlJc w:val="left"/>
      <w:pPr>
        <w:ind w:left="720" w:hanging="360"/>
      </w:pPr>
      <w:rPr>
        <w:rFonts w:ascii="Century Gothic" w:eastAsiaTheme="minorHAnsi" w:hAnsi="Century Gothic" w:cs="Century Goth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230B8"/>
    <w:multiLevelType w:val="hybridMultilevel"/>
    <w:tmpl w:val="8E1C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8E3BA4"/>
    <w:multiLevelType w:val="hybridMultilevel"/>
    <w:tmpl w:val="780CE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D261E9"/>
    <w:multiLevelType w:val="hybridMultilevel"/>
    <w:tmpl w:val="EC7CE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7E87B68"/>
    <w:multiLevelType w:val="hybridMultilevel"/>
    <w:tmpl w:val="1F847C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BEF079C"/>
    <w:multiLevelType w:val="hybridMultilevel"/>
    <w:tmpl w:val="3452B768"/>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num w:numId="1" w16cid:durableId="261839923">
    <w:abstractNumId w:val="3"/>
  </w:num>
  <w:num w:numId="2" w16cid:durableId="686642895">
    <w:abstractNumId w:val="2"/>
  </w:num>
  <w:num w:numId="3" w16cid:durableId="446437313">
    <w:abstractNumId w:val="7"/>
  </w:num>
  <w:num w:numId="4" w16cid:durableId="2002654914">
    <w:abstractNumId w:val="6"/>
  </w:num>
  <w:num w:numId="5" w16cid:durableId="1480461758">
    <w:abstractNumId w:val="1"/>
  </w:num>
  <w:num w:numId="6" w16cid:durableId="418061249">
    <w:abstractNumId w:val="0"/>
  </w:num>
  <w:num w:numId="7" w16cid:durableId="1094201406">
    <w:abstractNumId w:val="4"/>
  </w:num>
  <w:num w:numId="8" w16cid:durableId="849679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0D7"/>
    <w:rsid w:val="00256923"/>
    <w:rsid w:val="002728A6"/>
    <w:rsid w:val="00351339"/>
    <w:rsid w:val="003515FE"/>
    <w:rsid w:val="00476889"/>
    <w:rsid w:val="007628F4"/>
    <w:rsid w:val="00847716"/>
    <w:rsid w:val="00852ED0"/>
    <w:rsid w:val="008C3657"/>
    <w:rsid w:val="00B90BE9"/>
    <w:rsid w:val="00CA6232"/>
    <w:rsid w:val="00CF10D7"/>
    <w:rsid w:val="00E27B90"/>
    <w:rsid w:val="00F322CA"/>
    <w:rsid w:val="00FD1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425C"/>
  <w15:docId w15:val="{F0ED029D-90B5-4A8F-B778-FDA1C7A7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10D7"/>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2728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8A6"/>
  </w:style>
  <w:style w:type="paragraph" w:styleId="Footer">
    <w:name w:val="footer"/>
    <w:basedOn w:val="Normal"/>
    <w:link w:val="FooterChar"/>
    <w:uiPriority w:val="99"/>
    <w:unhideWhenUsed/>
    <w:rsid w:val="002728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8A6"/>
  </w:style>
  <w:style w:type="paragraph" w:styleId="BalloonText">
    <w:name w:val="Balloon Text"/>
    <w:basedOn w:val="Normal"/>
    <w:link w:val="BalloonTextChar"/>
    <w:uiPriority w:val="99"/>
    <w:semiHidden/>
    <w:unhideWhenUsed/>
    <w:rsid w:val="00272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8A6"/>
    <w:rPr>
      <w:rFonts w:ascii="Tahoma" w:hAnsi="Tahoma" w:cs="Tahoma"/>
      <w:sz w:val="16"/>
      <w:szCs w:val="16"/>
    </w:rPr>
  </w:style>
  <w:style w:type="table" w:styleId="TableGrid">
    <w:name w:val="Table Grid"/>
    <w:basedOn w:val="TableNormal"/>
    <w:uiPriority w:val="59"/>
    <w:rsid w:val="00CA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299616CA46C429D8C4CC7C52C7BAD" ma:contentTypeVersion="15" ma:contentTypeDescription="Create a new document." ma:contentTypeScope="" ma:versionID="ece6ff17c8a833ac23d16351ffe36e97">
  <xsd:schema xmlns:xsd="http://www.w3.org/2001/XMLSchema" xmlns:xs="http://www.w3.org/2001/XMLSchema" xmlns:p="http://schemas.microsoft.com/office/2006/metadata/properties" xmlns:ns2="5eb4d6e0-5ec7-4b12-b350-26648dc352f4" xmlns:ns3="b801f18f-295c-4df2-be23-5a1080366d8e" targetNamespace="http://schemas.microsoft.com/office/2006/metadata/properties" ma:root="true" ma:fieldsID="db4146356a96545553b3ea81bbc32a54" ns2:_="" ns3:_="">
    <xsd:import namespace="5eb4d6e0-5ec7-4b12-b350-26648dc352f4"/>
    <xsd:import namespace="b801f18f-295c-4df2-be23-5a1080366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4d6e0-5ec7-4b12-b350-26648dc35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eee8b2e-eeeb-4282-bc5d-5ec512fdaa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01f18f-295c-4df2-be23-5a1080366d8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4be1d41-4837-46b3-8f6e-d9b333d42a9d}" ma:internalName="TaxCatchAll" ma:showField="CatchAllData" ma:web="b801f18f-295c-4df2-be23-5a1080366d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b4d6e0-5ec7-4b12-b350-26648dc352f4">
      <Terms xmlns="http://schemas.microsoft.com/office/infopath/2007/PartnerControls"/>
    </lcf76f155ced4ddcb4097134ff3c332f>
    <TaxCatchAll xmlns="b801f18f-295c-4df2-be23-5a1080366d8e" xsi:nil="true"/>
  </documentManagement>
</p:properties>
</file>

<file path=customXml/itemProps1.xml><?xml version="1.0" encoding="utf-8"?>
<ds:datastoreItem xmlns:ds="http://schemas.openxmlformats.org/officeDocument/2006/customXml" ds:itemID="{D031F33A-8179-4A48-88B8-3FDC30094946}"/>
</file>

<file path=customXml/itemProps2.xml><?xml version="1.0" encoding="utf-8"?>
<ds:datastoreItem xmlns:ds="http://schemas.openxmlformats.org/officeDocument/2006/customXml" ds:itemID="{171EBAAD-C461-4E5D-8619-7A079045A0DF}"/>
</file>

<file path=customXml/itemProps3.xml><?xml version="1.0" encoding="utf-8"?>
<ds:datastoreItem xmlns:ds="http://schemas.openxmlformats.org/officeDocument/2006/customXml" ds:itemID="{6D9E78A9-24D9-433A-9E23-CE66FAA78FE5}"/>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Birchfield Nursery - Head Teacher</cp:lastModifiedBy>
  <cp:revision>3</cp:revision>
  <dcterms:created xsi:type="dcterms:W3CDTF">2025-03-24T14:19:00Z</dcterms:created>
  <dcterms:modified xsi:type="dcterms:W3CDTF">2025-03-24T14:19:00Z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0x010100C0F299616CA46C429D8C4CC7C52C7BAD</vt:lpwstr>
  </property>
</Properties>
</file>